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00"/>
        <w:jc w:val="center"/>
      </w:pPr>
      <w:r>
        <w:drawing>
          <wp:inline distT="0" distB="0" distL="0" distR="0">
            <wp:extent cx="1238250" cy="1238250"/>
            <wp:effectExtent t="0" r="0" b="0" l="0"/>
            <wp:docPr id="1" name="logo" descr="La Tercera Perla"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38250" cy="1238250"/>
                    </a:xfrm>
                    <a:prstGeom prst="rect">
                      <a:avLst/>
                    </a:prstGeom>
                  </pic:spPr>
                </pic:pic>
              </a:graphicData>
            </a:graphic>
          </wp:inline>
        </w:drawing>
      </w:r>
    </w:p>
    <w:p>
      <w:pPr>
        <w:bidi/>
        <w:spacing w:after="120" w:before="0" w:line="300"/>
        <w:jc w:val="center"/>
      </w:pPr>
      <w:r>
        <w:rPr>
          <w:rFonts w:ascii="Arial" w:cs="Arial" w:hAnsi="Arial"/>
          <w:b/>
          <w:bCs/>
          <w:color w:val="1F4E79"/>
          <w:sz w:val="44"/>
          <w:szCs w:val="44"/>
          <w:rtl/>
        </w:rPr>
        <w:t xml:space="preserve">طلب عروض الأسعار</w:t>
      </w:r>
    </w:p>
    <w:p>
      <w:pPr>
        <w:bidi/>
        <w:spacing w:after="120" w:before="0" w:line="300"/>
        <w:jc w:val="center"/>
      </w:pPr>
      <w:r>
        <w:rPr>
          <w:rFonts w:ascii="Arial" w:cs="Arial" w:hAnsi="Arial"/>
          <w:b/>
          <w:bCs/>
          <w:sz w:val="30"/>
          <w:szCs w:val="30"/>
          <w:rtl/>
        </w:rPr>
        <w:t xml:space="preserve">دفتر التحملات وجدول الكميات</w:t>
      </w:r>
    </w:p>
    <w:p>
      <w:pPr>
        <w:bidi/>
        <w:spacing w:after="200" w:before="0" w:line="300"/>
        <w:jc w:val="center"/>
      </w:pPr>
      <w:r>
        <w:rPr>
          <w:rFonts w:ascii="Arial" w:cs="Arial" w:hAnsi="Arial"/>
          <w:sz w:val="26"/>
          <w:szCs w:val="26"/>
          <w:rtl/>
        </w:rPr>
        <w:t xml:space="preserve">إعادة تأهيل المركز الثقافي ليرتشوندي · مرتيل (المغرب)</w:t>
      </w:r>
    </w:p>
    <w:p>
      <w:pPr>
        <w:bidi/>
        <w:spacing w:after="40" w:before="0" w:line="300"/>
        <w:jc w:val="center"/>
      </w:pPr>
      <w:r>
        <w:rPr>
          <w:rFonts w:ascii="Arial" w:cs="Arial" w:hAnsi="Arial"/>
          <w:b/>
          <w:bCs/>
          <w:sz w:val="22"/>
          <w:szCs w:val="22"/>
          <w:rtl/>
        </w:rPr>
        <w:t xml:space="preserve">الحصة 1 · تجديد المراحيض وتركيب الباركيه بالطابق العلوي</w:t>
      </w:r>
    </w:p>
    <w:p>
      <w:pPr>
        <w:bidi/>
        <w:spacing w:after="160" w:before="0" w:line="300"/>
        <w:jc w:val="center"/>
      </w:pPr>
      <w:r>
        <w:rPr>
          <w:rFonts w:ascii="Arial" w:cs="Arial" w:hAnsi="Arial"/>
          <w:b/>
          <w:bCs/>
          <w:sz w:val="22"/>
          <w:szCs w:val="22"/>
          <w:rtl/>
        </w:rPr>
        <w:t xml:space="preserve">الحصة 2 · الصباغة الشاملة الداخلية والخارجية</w:t>
      </w:r>
    </w:p>
    <w:p>
      <w:pPr>
        <w:spacing w:after="60" w:before="120"/>
        <w:jc w:val="center"/>
      </w:pPr>
      <w:r>
        <w:drawing>
          <wp:inline distT="0" distB="0" distL="0" distR="0">
            <wp:extent cx="4286250" cy="2857500"/>
            <wp:effectExtent t="0" r="0" b="0" l="0"/>
            <wp:docPr id="2" name="image2.jpg" descr="الواجهة الرئيسية وقبة مركز ليرتشوندي" title="الواجهة الرئيسية وقبة مركز ليرتشوند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86250" cy="2857500"/>
                    </a:xfrm>
                    <a:prstGeom prst="rect">
                      <a:avLst/>
                    </a:prstGeom>
                  </pic:spPr>
                </pic:pic>
              </a:graphicData>
            </a:graphic>
          </wp:inline>
        </w:drawing>
      </w:r>
    </w:p>
    <w:p>
      <w:pPr>
        <w:bidi/>
        <w:spacing w:after="120" w:before="0" w:line="300"/>
        <w:jc w:val="center"/>
      </w:pPr>
      <w:r>
        <w:rPr>
          <w:rFonts w:ascii="Arial" w:cs="Arial" w:hAnsi="Arial"/>
          <w:i/>
          <w:iCs/>
          <w:color w:val="555555"/>
          <w:sz w:val="18"/>
          <w:szCs w:val="18"/>
          <w:rtl/>
        </w:rPr>
        <w:t xml:space="preserve">الواجهة الرئيسية وقبة مركز ليرتشوندي</w:t>
      </w:r>
    </w:p>
    <w:p>
      <w:pPr>
        <w:bidi/>
        <w:spacing w:after="120" w:before="160" w:line="300"/>
        <w:jc w:val="center"/>
      </w:pPr>
      <w:r>
        <w:rPr>
          <w:rFonts w:ascii="Arial" w:cs="Arial" w:hAnsi="Arial"/>
          <w:sz w:val="22"/>
          <w:szCs w:val="22"/>
          <w:rtl/>
        </w:rPr>
        <w:t xml:space="preserve">الجهة المبادرة: جمعية La Tercera Perla – المساعدة الإنسانية، بتعاون مع إدارة مركز ليرتشوندي.</w:t>
      </w:r>
    </w:p>
    <w:p>
      <w:pPr>
        <w:bidi/>
        <w:spacing w:after="120" w:before="0" w:line="300"/>
        <w:jc w:val="center"/>
      </w:pPr>
      <w:r>
        <w:rPr>
          <w:rFonts w:ascii="Arial" w:cs="Arial" w:hAnsi="Arial"/>
          <w:sz w:val="22"/>
          <w:szCs w:val="22"/>
          <w:rtl/>
        </w:rPr>
        <w:t xml:space="preserve">تاريخ تسليم الدفتر: أكتوبر 2026.</w:t>
      </w:r>
    </w:p>
    <w:p>
      <w:r>
        <w:br w:type="page"/>
      </w:r>
    </w:p>
    <w:p>
      <w:pPr>
        <w:pBdr>
          <w:bottom w:val="single" w:color="1F4E79" w:sz="8" w:space="2"/>
        </w:pBdr>
        <w:bidi/>
        <w:spacing w:after="140" w:before="240"/>
        <w:jc w:val="left"/>
      </w:pPr>
      <w:r>
        <w:rPr>
          <w:rFonts w:ascii="Arial" w:cs="Arial" w:hAnsi="Arial"/>
          <w:b/>
          <w:bCs/>
          <w:color w:val="1F4E79"/>
          <w:sz w:val="30"/>
          <w:szCs w:val="30"/>
          <w:rtl/>
        </w:rPr>
        <w:t xml:space="preserve">1. موضوع الطلب</w:t>
      </w:r>
    </w:p>
    <w:p>
      <w:pPr>
        <w:bidi/>
        <w:spacing w:after="120" w:before="0" w:line="300"/>
        <w:jc w:val="left"/>
      </w:pPr>
      <w:r>
        <w:rPr>
          <w:rFonts w:ascii="Arial" w:cs="Arial" w:hAnsi="Arial"/>
          <w:sz w:val="22"/>
          <w:szCs w:val="22"/>
          <w:rtl/>
        </w:rPr>
        <w:t xml:space="preserve">تدعو جمعية La Tercera Perla المقاولات والمهنيين بمرتيل وتطوان إلى تقديم عرض مالي للأشغال الموصوفة في هذا الدفتر. ستُستعمل العروض المتوصل بها لتبرير الميزانية أمام مموّلي المشروع، ولذلك يجب تقديمها في شكل بيان أسعار / فاتورة شكلية (proforma) رسمية.</w:t>
      </w:r>
    </w:p>
    <w:p>
      <w:pPr>
        <w:bidi/>
        <w:spacing w:after="120" w:before="0" w:line="300"/>
        <w:jc w:val="left"/>
      </w:pPr>
      <w:r>
        <w:rPr>
          <w:rFonts w:ascii="Arial" w:cs="Arial" w:hAnsi="Arial"/>
          <w:sz w:val="22"/>
          <w:szCs w:val="22"/>
          <w:rtl/>
        </w:rPr>
        <w:t xml:space="preserve">يمكن تقديم عرض لحصة واحدة أو للحصتين معاً. الكميات تقديرية ويجب على المتنافس التحقق منها خلال زيارة المبنى، مع الإشارة في العرض إلى أي اختلاف.</w:t>
      </w:r>
    </w:p>
    <w:p>
      <w:pPr>
        <w:pBdr>
          <w:bottom w:val="single" w:color="1F4E79" w:sz="8" w:space="2"/>
        </w:pBdr>
        <w:bidi/>
        <w:spacing w:after="140" w:before="240"/>
        <w:jc w:val="left"/>
      </w:pPr>
      <w:r>
        <w:rPr>
          <w:rFonts w:ascii="Arial" w:cs="Arial" w:hAnsi="Arial"/>
          <w:b/>
          <w:bCs/>
          <w:color w:val="1F4E79"/>
          <w:sz w:val="30"/>
          <w:szCs w:val="30"/>
          <w:rtl/>
        </w:rPr>
        <w:t xml:space="preserve">2. المبنى</w:t>
      </w:r>
    </w:p>
    <w:p>
      <w:pPr>
        <w:bidi/>
        <w:spacing w:after="120" w:before="0" w:line="300"/>
        <w:jc w:val="left"/>
      </w:pPr>
      <w:r>
        <w:rPr>
          <w:rFonts w:ascii="Arial" w:cs="Arial" w:hAnsi="Arial"/>
          <w:sz w:val="22"/>
          <w:szCs w:val="22"/>
          <w:rtl/>
        </w:rPr>
        <w:t xml:space="preserve">مركز ليرتشوندي فضاء مرجعي في مرتيل: مكتبة جامعية، قاعات للدراسة، دار المرأة «سيدة المغرب»، إقامة للمتطوعين وأنشطة شبابية. يجب تنظيم الأشغال بحيث تؤثر بأقل قدر ممكن على الاستعمال اليومي للمركز.</w:t>
      </w:r>
    </w:p>
    <w:p>
      <w:pPr>
        <w:spacing w:after="60" w:before="120"/>
        <w:jc w:val="center"/>
      </w:pPr>
      <w:r>
        <w:drawing>
          <wp:inline distT="0" distB="0" distL="0" distR="0">
            <wp:extent cx="3714750" cy="2476500"/>
            <wp:effectExtent t="0" r="0" b="0" l="0"/>
            <wp:docPr id="3" name="image3.jpg" descr="مدخل مركز المرأة «سيدة المغرب»" title="مدخل مركز المرأة «سيدة المغر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14750" cy="2476500"/>
                    </a:xfrm>
                    <a:prstGeom prst="rect">
                      <a:avLst/>
                    </a:prstGeom>
                  </pic:spPr>
                </pic:pic>
              </a:graphicData>
            </a:graphic>
          </wp:inline>
        </w:drawing>
      </w:r>
    </w:p>
    <w:p>
      <w:pPr>
        <w:bidi/>
        <w:spacing w:after="120" w:before="0" w:line="300"/>
        <w:jc w:val="center"/>
      </w:pPr>
      <w:r>
        <w:rPr>
          <w:rFonts w:ascii="Arial" w:cs="Arial" w:hAnsi="Arial"/>
          <w:i/>
          <w:iCs/>
          <w:color w:val="555555"/>
          <w:sz w:val="18"/>
          <w:szCs w:val="18"/>
          <w:rtl/>
        </w:rPr>
        <w:t xml:space="preserve">مدخل مركز المرأة «سيدة المغرب»</w:t>
      </w:r>
    </w:p>
    <w:p>
      <w:pPr>
        <w:spacing w:after="60" w:before="120"/>
        <w:jc w:val="center"/>
      </w:pPr>
      <w:r>
        <w:drawing>
          <wp:inline distT="0" distB="0" distL="0" distR="0">
            <wp:extent cx="1905000" cy="2857500"/>
            <wp:effectExtent t="0" r="0" b="0" l="0"/>
            <wp:docPr id="4" name="image4.jpg" descr="الرواق والجدارية – عنصر يجب حمايته أثناء الأشغال" title="الرواق والجدارية – عنصر يجب حمايته أثناء الأشغا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05000" cy="2857500"/>
                    </a:xfrm>
                    <a:prstGeom prst="rect">
                      <a:avLst/>
                    </a:prstGeom>
                  </pic:spPr>
                </pic:pic>
              </a:graphicData>
            </a:graphic>
          </wp:inline>
        </w:drawing>
      </w:r>
    </w:p>
    <w:p>
      <w:pPr>
        <w:bidi/>
        <w:spacing w:after="120" w:before="0" w:line="300"/>
        <w:jc w:val="center"/>
      </w:pPr>
      <w:r>
        <w:rPr>
          <w:rFonts w:ascii="Arial" w:cs="Arial" w:hAnsi="Arial"/>
          <w:i/>
          <w:iCs/>
          <w:color w:val="555555"/>
          <w:sz w:val="18"/>
          <w:szCs w:val="18"/>
          <w:rtl/>
        </w:rPr>
        <w:t xml:space="preserve">الرواق والجدارية – عنصر يجب حمايته أثناء الأشغال</w:t>
      </w:r>
    </w:p>
    <w:p>
      <w:pPr>
        <w:bidi/>
        <w:spacing w:after="120" w:before="0" w:line="300"/>
        <w:jc w:val="left"/>
      </w:pPr>
      <w:r>
        <w:rPr>
          <w:rFonts w:ascii="Arial" w:cs="Arial" w:hAnsi="Arial"/>
          <w:b/>
          <w:bCs/>
          <w:color w:val="C00000"/>
          <w:sz w:val="22"/>
          <w:szCs w:val="22"/>
          <w:rtl/>
        </w:rPr>
        <w:t xml:space="preserve">هام: يجب حماية الجدارية الموجودة في الرواق، ويُمنع صباغتها أو إلحاق أي ضرر بها.</w:t>
      </w:r>
    </w:p>
    <w:p>
      <w:r>
        <w:br w:type="page"/>
      </w:r>
    </w:p>
    <w:p>
      <w:pPr>
        <w:pBdr>
          <w:bottom w:val="single" w:color="1F4E79" w:sz="8" w:space="2"/>
        </w:pBdr>
        <w:bidi/>
        <w:spacing w:after="140" w:before="240"/>
        <w:jc w:val="left"/>
      </w:pPr>
      <w:r>
        <w:rPr>
          <w:rFonts w:ascii="Arial" w:cs="Arial" w:hAnsi="Arial"/>
          <w:b/>
          <w:bCs/>
          <w:color w:val="1F4E79"/>
          <w:sz w:val="30"/>
          <w:szCs w:val="30"/>
          <w:rtl/>
        </w:rPr>
        <w:t xml:space="preserve">3. التصاميم</w:t>
      </w:r>
    </w:p>
    <w:p>
      <w:pPr>
        <w:spacing w:after="60" w:before="120"/>
        <w:jc w:val="center"/>
      </w:pPr>
      <w:r>
        <w:drawing>
          <wp:inline distT="0" distB="0" distL="0" distR="0">
            <wp:extent cx="4000500" cy="5657850"/>
            <wp:effectExtent t="0" r="0" b="0" l="0"/>
            <wp:docPr id="5" name="image5.jpg" descr="التصميم 1" title="التصميم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00500" cy="5657850"/>
                    </a:xfrm>
                    <a:prstGeom prst="rect">
                      <a:avLst/>
                    </a:prstGeom>
                  </pic:spPr>
                </pic:pic>
              </a:graphicData>
            </a:graphic>
          </wp:inline>
        </w:drawing>
      </w:r>
    </w:p>
    <w:p>
      <w:pPr>
        <w:bidi/>
        <w:spacing w:after="120" w:before="0" w:line="300"/>
        <w:jc w:val="center"/>
      </w:pPr>
      <w:r>
        <w:rPr>
          <w:rFonts w:ascii="Arial" w:cs="Arial" w:hAnsi="Arial"/>
          <w:i/>
          <w:iCs/>
          <w:color w:val="555555"/>
          <w:sz w:val="18"/>
          <w:szCs w:val="18"/>
          <w:rtl/>
        </w:rPr>
        <w:t xml:space="preserve">التصميم 1</w:t>
      </w:r>
    </w:p>
    <w:p>
      <w:r>
        <w:br w:type="page"/>
      </w:r>
    </w:p>
    <w:p>
      <w:pPr>
        <w:spacing w:after="60" w:before="120"/>
        <w:jc w:val="center"/>
      </w:pPr>
      <w:r>
        <w:drawing>
          <wp:inline distT="0" distB="0" distL="0" distR="0">
            <wp:extent cx="4000500" cy="5657850"/>
            <wp:effectExtent t="0" r="0" b="0" l="0"/>
            <wp:docPr id="6" name="image6.jpg" descr="التصميم 2" title="التصميم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00500" cy="5657850"/>
                    </a:xfrm>
                    <a:prstGeom prst="rect">
                      <a:avLst/>
                    </a:prstGeom>
                  </pic:spPr>
                </pic:pic>
              </a:graphicData>
            </a:graphic>
          </wp:inline>
        </w:drawing>
      </w:r>
    </w:p>
    <w:p>
      <w:pPr>
        <w:bidi/>
        <w:spacing w:after="120" w:before="0" w:line="300"/>
        <w:jc w:val="center"/>
      </w:pPr>
      <w:r>
        <w:rPr>
          <w:rFonts w:ascii="Arial" w:cs="Arial" w:hAnsi="Arial"/>
          <w:i/>
          <w:iCs/>
          <w:color w:val="555555"/>
          <w:sz w:val="18"/>
          <w:szCs w:val="18"/>
          <w:rtl/>
        </w:rPr>
        <w:t xml:space="preserve">التصميم 2</w:t>
      </w:r>
    </w:p>
    <w:p>
      <w:r>
        <w:br w:type="page"/>
      </w:r>
    </w:p>
    <w:p>
      <w:pPr>
        <w:pBdr>
          <w:bottom w:val="single" w:color="1F4E79" w:sz="8" w:space="2"/>
        </w:pBdr>
        <w:bidi/>
        <w:spacing w:after="140" w:before="240"/>
        <w:jc w:val="left"/>
      </w:pPr>
      <w:r>
        <w:rPr>
          <w:rFonts w:ascii="Arial" w:cs="Arial" w:hAnsi="Arial"/>
          <w:b/>
          <w:bCs/>
          <w:color w:val="1F4E79"/>
          <w:sz w:val="30"/>
          <w:szCs w:val="30"/>
          <w:rtl/>
        </w:rPr>
        <w:t xml:space="preserve">4. الحصة 1 · تجديد المراحيض والباركيه</w:t>
      </w:r>
    </w:p>
    <w:p>
      <w:pPr>
        <w:bidi/>
        <w:spacing w:after="120" w:before="0" w:line="300"/>
        <w:jc w:val="left"/>
      </w:pPr>
      <w:r>
        <w:rPr>
          <w:rFonts w:ascii="Arial" w:cs="Arial" w:hAnsi="Arial"/>
          <w:sz w:val="22"/>
          <w:szCs w:val="22"/>
          <w:rtl/>
        </w:rPr>
        <w:t xml:space="preserve">5 وحدات مراحيض (3 في الطابق الأرضي و2 في الطابق العلوي)، إحداها مهيأة لذوي الاحتياجات الخاصة، وأرضية جديدة في الطابق العلوي (القاعات، الممرات والقاعة المشتركة).</w:t>
      </w:r>
    </w:p>
    <w:tbl>
      <w:tblPr>
        <w:bidiVisual/>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626"/>
        <w:gridCol w:w="900"/>
        <w:gridCol w:w="1000"/>
        <w:gridCol w:w="950"/>
        <w:gridCol w:w="950"/>
      </w:tblGrid>
      <w:tr>
        <w:trPr>
          <w:tblHeader/>
        </w:trPr>
        <w:tc>
          <w:tcPr>
            <w:tcW w:type="dxa" w:w="60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ر.ت</w:t>
            </w:r>
          </w:p>
        </w:tc>
        <w:tc>
          <w:tcPr>
            <w:tcW w:type="dxa" w:w="4626"/>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البند / الوصف</w:t>
            </w:r>
          </w:p>
        </w:tc>
        <w:tc>
          <w:tcPr>
            <w:tcW w:type="dxa" w:w="90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الوحدة</w:t>
            </w:r>
          </w:p>
        </w:tc>
        <w:tc>
          <w:tcPr>
            <w:tcW w:type="dxa" w:w="100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الكمية</w:t>
            </w:r>
          </w:p>
        </w:tc>
        <w:tc>
          <w:tcPr>
            <w:tcW w:type="dxa" w:w="95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ثمن الوحدة</w:t>
            </w:r>
          </w:p>
        </w:tc>
        <w:tc>
          <w:tcPr>
            <w:tcW w:type="dxa" w:w="95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المبلغ</w:t>
            </w:r>
          </w:p>
        </w:tc>
      </w:tr>
      <w:tr>
        <w:tc>
          <w:tcPr>
            <w:tcW w:type="dxa" w:w="9026"/>
            <w:gridSpan w:val="6"/>
            <w:tcBorders>
              <w:top w:val="single" w:color="999999" w:sz="4"/>
              <w:left w:val="single" w:color="999999" w:sz="4"/>
              <w:bottom w:val="single" w:color="999999" w:sz="4"/>
              <w:right w:val="single" w:color="999999" w:sz="4"/>
            </w:tcBorders>
            <w:shd w:fill="DCE6F1" w:val="clear"/>
            <w:tcMar>
              <w:top w:type="dxa" w:w="60"/>
              <w:left w:type="dxa" w:w="80"/>
              <w:bottom w:type="dxa" w:w="60"/>
              <w:right w:type="dxa" w:w="80"/>
            </w:tcMar>
          </w:tcPr>
          <w:p>
            <w:pPr>
              <w:bidi/>
              <w:spacing w:after="0" w:before="0" w:line="300"/>
              <w:jc w:val="left"/>
            </w:pPr>
            <w:r>
              <w:rPr>
                <w:rFonts w:ascii="Arial" w:cs="Arial" w:hAnsi="Arial"/>
                <w:b/>
                <w:bCs/>
                <w:sz w:val="19"/>
                <w:szCs w:val="19"/>
                <w:rtl/>
              </w:rPr>
              <w:t xml:space="preserve">تجديد المراحيض</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هدم الأدوات الصحية والزليج والأرضيات الحالية، وإزالة الأنقاض ونقلها إلى المطرح</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34</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تكسية الجدران حتى السقف بزليج خزفي أبيض 20×20، بلاصق إسمنتي C2 وفواصل مقاومة للماء</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128</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3</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أرضية خزفية مانعة للانزلاق من الصنف C3، مع التركيب</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40</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4</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سقف معلق من ألواح الجبس المقاومة للرطوبة، مع صباغة مضادة للعفن</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34</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5</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توريد وتركيب مرحاض بخزان ومقعد</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7</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6</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توريد وتركيب مغسلة حائطية بقاعدة</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6</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7</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حوض دوش خزفي 80×100 مع السيفون</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8</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حاجز دوش من الزجاج المقسى 6 مم</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9</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صنبور مغسلة أحادي الذراع، مطلي بالكروم</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6</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10</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صنبور دوش حراري (ترموستاتي)</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11</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مرآة 60×80 بإطار من الألومنيوم</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5</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12</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طقم إكسسوارات من الفولاذ المقاوم للصدأ (حامل ورق، حامل مناشف، صحن صابون)</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طقم</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5</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13</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شفاط هواء بمؤقت</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5</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14</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مصباح LED محكم الإغلاق IP44</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10</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15</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تجديد شبكة الماء (بارد/ساخن PEX) والصرف الصحي PVC، لكل مرحاض</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مرحاض</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5</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16</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تجديد التركيبات الكهربائية، لكل مرحاض</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مرحاض</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5</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17</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تهيئة مرحاض لذوي الاحتياجات الخاصة (مقابض دعم، باب، مرحاض مكيّف)</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9026"/>
            <w:gridSpan w:val="6"/>
            <w:tcBorders>
              <w:top w:val="single" w:color="999999" w:sz="4"/>
              <w:left w:val="single" w:color="999999" w:sz="4"/>
              <w:bottom w:val="single" w:color="999999" w:sz="4"/>
              <w:right w:val="single" w:color="999999" w:sz="4"/>
            </w:tcBorders>
            <w:shd w:fill="DCE6F1" w:val="clear"/>
            <w:tcMar>
              <w:top w:type="dxa" w:w="60"/>
              <w:left w:type="dxa" w:w="80"/>
              <w:bottom w:type="dxa" w:w="60"/>
              <w:right w:type="dxa" w:w="80"/>
            </w:tcMar>
          </w:tcPr>
          <w:p>
            <w:pPr>
              <w:bidi/>
              <w:spacing w:after="0" w:before="0" w:line="300"/>
              <w:jc w:val="left"/>
            </w:pPr>
            <w:r>
              <w:rPr>
                <w:rFonts w:ascii="Arial" w:cs="Arial" w:hAnsi="Arial"/>
                <w:b/>
                <w:bCs/>
                <w:sz w:val="19"/>
                <w:szCs w:val="19"/>
                <w:rtl/>
              </w:rPr>
              <w:t xml:space="preserve">الأرضية الخشبية (باركيه) بالطابق العلوي</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18</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إزالة الأرضية الحالية</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237</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19</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تسوية بملاط ذاتي التسوية حيث يلزم</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237</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20</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باركيه مصفّح AC5 سمك 8–10 مم، عائم، فوق طبقة عازلة 3 مم بحاجز للبخار، مع التركيب</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237</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21</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وزرة (plinthe) من الخشب MDF مطلية بالأبيض 8 سم، مع التركيب</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م.ط</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168</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22</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مقاطع انتقال من الألومنيوم</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وحدة</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8</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9026"/>
            <w:gridSpan w:val="6"/>
            <w:tcBorders>
              <w:top w:val="single" w:color="999999" w:sz="4"/>
              <w:left w:val="single" w:color="999999" w:sz="4"/>
              <w:bottom w:val="single" w:color="999999" w:sz="4"/>
              <w:right w:val="single" w:color="999999" w:sz="4"/>
            </w:tcBorders>
            <w:shd w:fill="DCE6F1" w:val="clear"/>
            <w:tcMar>
              <w:top w:type="dxa" w:w="60"/>
              <w:left w:type="dxa" w:w="80"/>
              <w:bottom w:type="dxa" w:w="60"/>
              <w:right w:type="dxa" w:w="80"/>
            </w:tcMar>
          </w:tcPr>
          <w:p>
            <w:pPr>
              <w:bidi/>
              <w:spacing w:after="0" w:before="0" w:line="300"/>
              <w:jc w:val="left"/>
            </w:pPr>
            <w:r>
              <w:rPr>
                <w:rFonts w:ascii="Arial" w:cs="Arial" w:hAnsi="Arial"/>
                <w:b/>
                <w:bCs/>
                <w:sz w:val="19"/>
                <w:szCs w:val="19"/>
                <w:rtl/>
              </w:rPr>
              <w:t xml:space="preserve">أعمال عامة</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23</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الوسائل المساعدة، معدات الحماية الفردية وحاوية الأنقاض</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جزافي</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24</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التنظيف النهائي للورش</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جزافي</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bl>
    <w:p>
      <w:pPr>
        <w:bidi/>
        <w:spacing w:after="120" w:before="160" w:line="300"/>
        <w:jc w:val="left"/>
      </w:pPr>
      <w:r>
        <w:rPr>
          <w:rFonts w:ascii="Arial" w:cs="Arial" w:hAnsi="Arial"/>
          <w:b/>
          <w:bCs/>
          <w:sz w:val="22"/>
          <w:szCs w:val="22"/>
          <w:rtl/>
        </w:rPr>
        <w:t xml:space="preserve">المجموع الإجمالي للحصة 1 (مع الضرائب وبدونها): ______________________</w:t>
      </w:r>
    </w:p>
    <w:p>
      <w:r>
        <w:br w:type="page"/>
      </w:r>
    </w:p>
    <w:p>
      <w:pPr>
        <w:pBdr>
          <w:bottom w:val="single" w:color="1F4E79" w:sz="8" w:space="2"/>
        </w:pBdr>
        <w:bidi/>
        <w:spacing w:after="140" w:before="240"/>
        <w:jc w:val="left"/>
      </w:pPr>
      <w:r>
        <w:rPr>
          <w:rFonts w:ascii="Arial" w:cs="Arial" w:hAnsi="Arial"/>
          <w:b/>
          <w:bCs/>
          <w:color w:val="1F4E79"/>
          <w:sz w:val="30"/>
          <w:szCs w:val="30"/>
          <w:rtl/>
        </w:rPr>
        <w:t xml:space="preserve">5. الحصة 2 · الصباغة الشاملة الداخلية والخارجية</w:t>
      </w:r>
    </w:p>
    <w:p>
      <w:pPr>
        <w:bidi/>
        <w:spacing w:after="120" w:before="0" w:line="300"/>
        <w:jc w:val="left"/>
      </w:pPr>
      <w:r>
        <w:rPr>
          <w:rFonts w:ascii="Arial" w:cs="Arial" w:hAnsi="Arial"/>
          <w:sz w:val="22"/>
          <w:szCs w:val="22"/>
          <w:rtl/>
        </w:rPr>
        <w:t xml:space="preserve">صباغة كاملة للمبنى: الجدران والأسقف الداخلية والواجهات الخارجية بالألوان الحالية (الأبيض والأزرق). يجب على المتنافس قياس مساحات الواجهات خلال الزيارة.</w:t>
      </w:r>
    </w:p>
    <w:tbl>
      <w:tblPr>
        <w:bidiVisual/>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626"/>
        <w:gridCol w:w="900"/>
        <w:gridCol w:w="1000"/>
        <w:gridCol w:w="950"/>
        <w:gridCol w:w="950"/>
      </w:tblGrid>
      <w:tr>
        <w:trPr>
          <w:tblHeader/>
        </w:trPr>
        <w:tc>
          <w:tcPr>
            <w:tcW w:type="dxa" w:w="60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ر.ت</w:t>
            </w:r>
          </w:p>
        </w:tc>
        <w:tc>
          <w:tcPr>
            <w:tcW w:type="dxa" w:w="4626"/>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البند / الوصف</w:t>
            </w:r>
          </w:p>
        </w:tc>
        <w:tc>
          <w:tcPr>
            <w:tcW w:type="dxa" w:w="90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الوحدة</w:t>
            </w:r>
          </w:p>
        </w:tc>
        <w:tc>
          <w:tcPr>
            <w:tcW w:type="dxa" w:w="100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الكمية</w:t>
            </w:r>
          </w:p>
        </w:tc>
        <w:tc>
          <w:tcPr>
            <w:tcW w:type="dxa" w:w="95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ثمن الوحدة</w:t>
            </w:r>
          </w:p>
        </w:tc>
        <w:tc>
          <w:tcPr>
            <w:tcW w:type="dxa" w:w="950"/>
            <w:tcBorders>
              <w:top w:val="single" w:color="999999" w:sz="4"/>
              <w:left w:val="single" w:color="999999" w:sz="4"/>
              <w:bottom w:val="single" w:color="999999" w:sz="4"/>
              <w:right w:val="single" w:color="999999" w:sz="4"/>
            </w:tcBorders>
            <w:shd w:fill="1F4E79" w:val="clear"/>
            <w:tcMar>
              <w:top w:type="dxa" w:w="60"/>
              <w:left w:type="dxa" w:w="80"/>
              <w:bottom w:type="dxa" w:w="60"/>
              <w:right w:type="dxa" w:w="80"/>
            </w:tcMar>
          </w:tcPr>
          <w:p>
            <w:pPr>
              <w:bidi/>
              <w:spacing w:after="0" w:before="0" w:line="300"/>
              <w:jc w:val="center"/>
            </w:pPr>
            <w:r>
              <w:rPr>
                <w:rFonts w:ascii="Arial" w:cs="Arial" w:hAnsi="Arial"/>
                <w:b/>
                <w:bCs/>
                <w:color w:val="FFFFFF"/>
                <w:sz w:val="19"/>
                <w:szCs w:val="19"/>
                <w:rtl/>
              </w:rPr>
              <w:t xml:space="preserve">المبلغ</w:t>
            </w:r>
          </w:p>
        </w:tc>
      </w:tr>
      <w:tr>
        <w:tc>
          <w:tcPr>
            <w:tcW w:type="dxa" w:w="9026"/>
            <w:gridSpan w:val="6"/>
            <w:tcBorders>
              <w:top w:val="single" w:color="999999" w:sz="4"/>
              <w:left w:val="single" w:color="999999" w:sz="4"/>
              <w:bottom w:val="single" w:color="999999" w:sz="4"/>
              <w:right w:val="single" w:color="999999" w:sz="4"/>
            </w:tcBorders>
            <w:shd w:fill="DCE6F1" w:val="clear"/>
            <w:tcMar>
              <w:top w:type="dxa" w:w="60"/>
              <w:left w:type="dxa" w:w="80"/>
              <w:bottom w:type="dxa" w:w="60"/>
              <w:right w:type="dxa" w:w="80"/>
            </w:tcMar>
          </w:tcPr>
          <w:p>
            <w:pPr>
              <w:bidi/>
              <w:spacing w:after="0" w:before="0" w:line="300"/>
              <w:jc w:val="left"/>
            </w:pPr>
            <w:r>
              <w:rPr>
                <w:rFonts w:ascii="Arial" w:cs="Arial" w:hAnsi="Arial"/>
                <w:b/>
                <w:bCs/>
                <w:sz w:val="19"/>
                <w:szCs w:val="19"/>
                <w:rtl/>
              </w:rPr>
              <w:t xml:space="preserve">الوسائل المساعدة</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تركيب وكراء (حوالي 5 أسابيع) وتفكيك السقالات على الواجهات، مع وسائل الحماية</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جزافي</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2</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حماية الأرضيات والنجارة والأثاث والجدارية الموجودة في الرواق</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جزافي</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9026"/>
            <w:gridSpan w:val="6"/>
            <w:tcBorders>
              <w:top w:val="single" w:color="999999" w:sz="4"/>
              <w:left w:val="single" w:color="999999" w:sz="4"/>
              <w:bottom w:val="single" w:color="999999" w:sz="4"/>
              <w:right w:val="single" w:color="999999" w:sz="4"/>
            </w:tcBorders>
            <w:shd w:fill="DCE6F1" w:val="clear"/>
            <w:tcMar>
              <w:top w:type="dxa" w:w="60"/>
              <w:left w:type="dxa" w:w="80"/>
              <w:bottom w:type="dxa" w:w="60"/>
              <w:right w:type="dxa" w:w="80"/>
            </w:tcMar>
          </w:tcPr>
          <w:p>
            <w:pPr>
              <w:bidi/>
              <w:spacing w:after="0" w:before="0" w:line="300"/>
              <w:jc w:val="left"/>
            </w:pPr>
            <w:r>
              <w:rPr>
                <w:rFonts w:ascii="Arial" w:cs="Arial" w:hAnsi="Arial"/>
                <w:b/>
                <w:bCs/>
                <w:sz w:val="19"/>
                <w:szCs w:val="19"/>
                <w:rtl/>
              </w:rPr>
              <w:t xml:space="preserve">الصباغة الخارجية</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3</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تنظيف الواجهة وكشط الصباغة المتقشرة وإصلاح الشقوق والتقشرات</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يُقاس</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4</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طبقة أساس مثبتة وطبقتان من صباغة الواجهات باللون الأبيض</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يُقاس</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5</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طبقتان من صباغة الواجهات باللون الأزرق (الأسافل، الإطارات والعناصر الزخرفية)</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يُقاس</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6</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صباغة الشبابيك الحديدية والنجارة المعدنية الخارجية (طلاء مضاد للصدأ)</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يُقاس</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9026"/>
            <w:gridSpan w:val="6"/>
            <w:tcBorders>
              <w:top w:val="single" w:color="999999" w:sz="4"/>
              <w:left w:val="single" w:color="999999" w:sz="4"/>
              <w:bottom w:val="single" w:color="999999" w:sz="4"/>
              <w:right w:val="single" w:color="999999" w:sz="4"/>
            </w:tcBorders>
            <w:shd w:fill="DCE6F1" w:val="clear"/>
            <w:tcMar>
              <w:top w:type="dxa" w:w="60"/>
              <w:left w:type="dxa" w:w="80"/>
              <w:bottom w:type="dxa" w:w="60"/>
              <w:right w:type="dxa" w:w="80"/>
            </w:tcMar>
          </w:tcPr>
          <w:p>
            <w:pPr>
              <w:bidi/>
              <w:spacing w:after="0" w:before="0" w:line="300"/>
              <w:jc w:val="left"/>
            </w:pPr>
            <w:r>
              <w:rPr>
                <w:rFonts w:ascii="Arial" w:cs="Arial" w:hAnsi="Arial"/>
                <w:b/>
                <w:bCs/>
                <w:sz w:val="19"/>
                <w:szCs w:val="19"/>
                <w:rtl/>
              </w:rPr>
              <w:t xml:space="preserve">الصباغة الداخلية</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7</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تهيئة الأسطح: صنفرة، معجنة وإصلاح الشقوق</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1.530</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8</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طبقة أساس وطبقتان من الصباغة البلاستيكية على الجدران والأسقف</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1.530</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9</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معالجة الرطوبة في المناطق المتضررة</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م²</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يُقاس</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r>
        <w:tc>
          <w:tcPr>
            <w:tcW w:type="dxa" w:w="9026"/>
            <w:gridSpan w:val="6"/>
            <w:tcBorders>
              <w:top w:val="single" w:color="999999" w:sz="4"/>
              <w:left w:val="single" w:color="999999" w:sz="4"/>
              <w:bottom w:val="single" w:color="999999" w:sz="4"/>
              <w:right w:val="single" w:color="999999" w:sz="4"/>
            </w:tcBorders>
            <w:shd w:fill="DCE6F1" w:val="clear"/>
            <w:tcMar>
              <w:top w:type="dxa" w:w="60"/>
              <w:left w:type="dxa" w:w="80"/>
              <w:bottom w:type="dxa" w:w="60"/>
              <w:right w:type="dxa" w:w="80"/>
            </w:tcMar>
          </w:tcPr>
          <w:p>
            <w:pPr>
              <w:bidi/>
              <w:spacing w:after="0" w:before="0" w:line="300"/>
              <w:jc w:val="left"/>
            </w:pPr>
            <w:r>
              <w:rPr>
                <w:rFonts w:ascii="Arial" w:cs="Arial" w:hAnsi="Arial"/>
                <w:b/>
                <w:bCs/>
                <w:sz w:val="19"/>
                <w:szCs w:val="19"/>
                <w:rtl/>
              </w:rPr>
              <w:t xml:space="preserve">أعمال عامة</w:t>
            </w:r>
          </w:p>
        </w:tc>
      </w:tr>
      <w:tr>
        <w:tc>
          <w:tcPr>
            <w:tcW w:type="dxa" w:w="6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10</w:t>
            </w:r>
          </w:p>
        </w:tc>
        <w:tc>
          <w:tcPr>
            <w:tcW w:type="dxa" w:w="4626"/>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إزالة النفايات والتنظيف النهائي</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جزافي</w:t>
            </w:r>
          </w:p>
        </w:tc>
        <w:tc>
          <w:tcPr>
            <w:tcW w:type="dxa" w:w="10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center"/>
            </w:pPr>
            <w:r>
              <w:rPr>
                <w:rFonts w:ascii="Arial" w:cs="Arial" w:hAnsi="Arial"/>
                <w:sz w:val="19"/>
                <w:szCs w:val="19"/>
                <w:rtl/>
              </w:rPr>
              <w:t xml:space="preserve">1</w:t>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c>
          <w:tcPr>
            <w:tcW w:type="dxa" w:w="95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0" w:before="0" w:line="300"/>
              <w:jc w:val="left"/>
            </w:pPr>
            <w:r>
              <w:rPr>
                <w:rFonts w:ascii="Arial" w:cs="Arial" w:hAnsi="Arial"/>
                <w:sz w:val="19"/>
                <w:szCs w:val="19"/>
                <w:rtl/>
              </w:rPr>
              <w:t xml:space="preserve"/>
            </w:r>
          </w:p>
        </w:tc>
      </w:tr>
    </w:tbl>
    <w:p>
      <w:pPr>
        <w:bidi/>
        <w:spacing w:after="120" w:before="160" w:line="300"/>
        <w:jc w:val="left"/>
      </w:pPr>
      <w:r>
        <w:rPr>
          <w:rFonts w:ascii="Arial" w:cs="Arial" w:hAnsi="Arial"/>
          <w:b/>
          <w:bCs/>
          <w:sz w:val="22"/>
          <w:szCs w:val="22"/>
          <w:rtl/>
        </w:rPr>
        <w:t xml:space="preserve">المجموع الإجمالي للحصة 2 (مع الضرائب وبدونها): ______________________</w:t>
      </w:r>
    </w:p>
    <w:p>
      <w:pPr>
        <w:pBdr>
          <w:bottom w:val="single" w:color="1F4E79" w:sz="8" w:space="2"/>
        </w:pBdr>
        <w:bidi/>
        <w:spacing w:after="140" w:before="240"/>
        <w:jc w:val="left"/>
      </w:pPr>
      <w:r>
        <w:rPr>
          <w:rFonts w:ascii="Arial" w:cs="Arial" w:hAnsi="Arial"/>
          <w:b/>
          <w:bCs/>
          <w:color w:val="1F4E79"/>
          <w:sz w:val="30"/>
          <w:szCs w:val="30"/>
          <w:rtl/>
        </w:rPr>
        <w:t xml:space="preserve">6. الشروط</w:t>
      </w:r>
    </w:p>
    <w:p>
      <w:pPr>
        <w:bidi/>
        <w:spacing w:after="120" w:before="0" w:line="300"/>
        <w:jc w:val="left"/>
      </w:pPr>
      <w:r>
        <w:rPr>
          <w:rFonts w:ascii="Arial" w:cs="Arial" w:hAnsi="Arial"/>
          <w:sz w:val="22"/>
          <w:szCs w:val="22"/>
          <w:rtl/>
        </w:rPr>
        <w:t xml:space="preserve">•  يجب الإشارة في العرض إلى مدة التنفيذ المقترحة وتاريخ إمكانية بدء الأشغال.</w:t>
      </w:r>
    </w:p>
    <w:p>
      <w:pPr>
        <w:bidi/>
        <w:spacing w:after="120" w:before="0" w:line="300"/>
        <w:jc w:val="left"/>
      </w:pPr>
      <w:r>
        <w:rPr>
          <w:rFonts w:ascii="Arial" w:cs="Arial" w:hAnsi="Arial"/>
          <w:sz w:val="22"/>
          <w:szCs w:val="22"/>
          <w:rtl/>
        </w:rPr>
        <w:t xml:space="preserve">•  مواد بجودة مساوية أو أعلى من الموصوفة؛ مع ذكر العلامة والطراز كلما أمكن.</w:t>
      </w:r>
    </w:p>
    <w:p>
      <w:pPr>
        <w:bidi/>
        <w:spacing w:after="120" w:before="0" w:line="300"/>
        <w:jc w:val="left"/>
      </w:pPr>
      <w:r>
        <w:rPr>
          <w:rFonts w:ascii="Arial" w:cs="Arial" w:hAnsi="Arial"/>
          <w:sz w:val="22"/>
          <w:szCs w:val="22"/>
          <w:rtl/>
        </w:rPr>
        <w:t xml:space="preserve">•  يشمل الثمن: اليد العاملة، المواد، النقل، إزالة الأنقاض والتنظيف.</w:t>
      </w:r>
    </w:p>
    <w:p>
      <w:pPr>
        <w:bidi/>
        <w:spacing w:after="120" w:before="0" w:line="300"/>
        <w:jc w:val="left"/>
      </w:pPr>
      <w:r>
        <w:rPr>
          <w:rFonts w:ascii="Arial" w:cs="Arial" w:hAnsi="Arial"/>
          <w:sz w:val="22"/>
          <w:szCs w:val="22"/>
          <w:rtl/>
        </w:rPr>
        <w:t xml:space="preserve">•  الأداء حسب كشوفات الأشغال (situations) وفق المراحل المنجزة والمراقبة.</w:t>
      </w:r>
    </w:p>
    <w:p>
      <w:pPr>
        <w:bidi/>
        <w:spacing w:after="120" w:before="0" w:line="300"/>
        <w:jc w:val="left"/>
      </w:pPr>
      <w:r>
        <w:rPr>
          <w:rFonts w:ascii="Arial" w:cs="Arial" w:hAnsi="Arial"/>
          <w:sz w:val="22"/>
          <w:szCs w:val="22"/>
          <w:rtl/>
        </w:rPr>
        <w:t xml:space="preserve">•  تنظيم العمل بشكل يتلاءم مع استعمال المركز ويضمن سلامة المستعملين.</w:t>
      </w:r>
    </w:p>
    <w:p>
      <w:pPr>
        <w:bidi/>
        <w:spacing w:after="120" w:before="0" w:line="300"/>
        <w:jc w:val="left"/>
      </w:pPr>
      <w:r>
        <w:rPr>
          <w:rFonts w:ascii="Arial" w:cs="Arial" w:hAnsi="Arial"/>
          <w:sz w:val="22"/>
          <w:szCs w:val="22"/>
          <w:rtl/>
        </w:rPr>
        <w:t xml:space="preserve">•  يُقدَّم العرض في شكل بيان أسعار / فاتورة شكلية يتضمن: الاسم أو الاسم التجاري، العنوان، التعريف الضريبي (ICE / IF / RC)، التاريخ، التوقيع والخاتم، تفصيل البنود، وصلاحية لا تقل عن 6 أشهر.</w:t>
      </w:r>
    </w:p>
    <w:p>
      <w:pPr>
        <w:bidi/>
        <w:spacing w:after="120" w:before="0" w:line="300"/>
        <w:jc w:val="left"/>
      </w:pPr>
      <w:r>
        <w:rPr>
          <w:rFonts w:ascii="Arial" w:cs="Arial" w:hAnsi="Arial"/>
          <w:sz w:val="22"/>
          <w:szCs w:val="22"/>
          <w:rtl/>
        </w:rPr>
        <w:t xml:space="preserve">•  زيارة المبنى: بتنسيق مع إدارة مركز ليرتشوندي أو مع جمعية La Tercera Perla.</w:t>
      </w:r>
    </w:p>
    <w:p>
      <w:pPr>
        <w:pBdr>
          <w:bottom w:val="single" w:color="1F4E79" w:sz="8" w:space="2"/>
        </w:pBdr>
        <w:bidi/>
        <w:spacing w:after="140" w:before="240"/>
        <w:jc w:val="left"/>
      </w:pPr>
      <w:r>
        <w:rPr>
          <w:rFonts w:ascii="Arial" w:cs="Arial" w:hAnsi="Arial"/>
          <w:b/>
          <w:bCs/>
          <w:color w:val="1F4E79"/>
          <w:sz w:val="30"/>
          <w:szCs w:val="30"/>
          <w:rtl/>
        </w:rPr>
        <w:t xml:space="preserve">7. الاتصال وتسليم العروض</w:t>
      </w:r>
    </w:p>
    <w:p>
      <w:pPr>
        <w:bidi/>
        <w:spacing w:after="40" w:before="0" w:line="300"/>
        <w:jc w:val="left"/>
      </w:pPr>
      <w:r>
        <w:rPr>
          <w:rFonts w:ascii="Arial" w:cs="Arial" w:hAnsi="Arial"/>
          <w:b/>
          <w:bCs/>
          <w:sz w:val="22"/>
          <w:szCs w:val="22"/>
          <w:rtl/>
        </w:rPr>
        <w:t xml:space="preserve">جمعية La Tercera Perla – المساعدة الإنسانية</w:t>
      </w:r>
    </w:p>
    <w:p>
      <w:pPr>
        <w:bidi/>
        <w:spacing w:after="40" w:before="0" w:line="300"/>
        <w:jc w:val="left"/>
      </w:pPr>
      <w:r>
        <w:rPr>
          <w:rFonts w:ascii="Arial" w:cs="Arial" w:hAnsi="Arial"/>
          <w:sz w:val="22"/>
          <w:szCs w:val="22"/>
          <w:rtl/>
        </w:rPr>
        <w:t xml:space="preserve">Quim Ceballos Salinas · </w:t>
      </w:r>
      <w:r>
        <w:rPr>
          <w:rFonts w:ascii="Arial" w:cs="Arial" w:hAnsi="Arial"/>
        </w:rPr>
        <w:t xml:space="preserve">+34 674 907 218</w:t>
      </w:r>
    </w:p>
    <w:p>
      <w:pPr>
        <w:bidi/>
        <w:spacing w:after="40" w:before="0" w:line="300"/>
        <w:jc w:val="left"/>
      </w:pPr>
      <w:r>
        <w:rPr>
          <w:rFonts w:ascii="Arial" w:cs="Arial" w:hAnsi="Arial"/>
          <w:sz w:val="22"/>
          <w:szCs w:val="22"/>
          <w:rtl/>
        </w:rPr>
        <w:t xml:space="preserve">Ana Garceso Brumos · </w:t>
      </w:r>
      <w:r>
        <w:rPr>
          <w:rFonts w:ascii="Arial" w:cs="Arial" w:hAnsi="Arial"/>
        </w:rPr>
        <w:t xml:space="preserve">+34 628 404 732</w:t>
      </w:r>
    </w:p>
    <w:p>
      <w:pPr>
        <w:bidi/>
        <w:spacing w:after="300" w:before="0" w:line="300"/>
        <w:jc w:val="left"/>
      </w:pPr>
      <w:r>
        <w:rPr>
          <w:rFonts w:ascii="Arial" w:cs="Arial" w:hAnsi="Arial"/>
          <w:sz w:val="22"/>
          <w:szCs w:val="22"/>
          <w:rtl/>
        </w:rPr>
        <w:t xml:space="preserve">Vecindario Massabé nº 22, Sils (Girona، إسبانيا) · NIF G75450007</w:t>
      </w:r>
    </w:p>
    <w:p>
      <w:pPr>
        <w:bidi/>
        <w:spacing w:after="120" w:before="0" w:line="300"/>
        <w:jc w:val="left"/>
      </w:pPr>
      <w:r>
        <w:rPr>
          <w:rFonts w:ascii="Arial" w:cs="Arial" w:hAnsi="Arial"/>
          <w:b/>
          <w:bCs/>
          <w:sz w:val="22"/>
          <w:szCs w:val="22"/>
          <w:rtl/>
        </w:rPr>
        <w:t xml:space="preserve">معطيات المتنافس: ____________________________     التوقيع والخاتم: ______________</w:t>
      </w:r>
    </w:p>
    <w:sectPr>
      <w:footerReference w:type="default" r:id="rId6"/>
      <w:pgSz w:w="11906" w:h="16838" w:orient="portrait"/>
      <w:pgMar w:top="12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La Tercera Perla · Lerchundi – Martil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dce50de4170fd982be575b8e97f73781cecd59cc.png"/><Relationship Id="rId9" Type="http://schemas.openxmlformats.org/officeDocument/2006/relationships/image" Target="media/89f7ea18e4202966e030454ce241f46af951438c.jpg"/><Relationship Id="rId10" Type="http://schemas.openxmlformats.org/officeDocument/2006/relationships/image" Target="media/75840ca1a826e13c8b67d1b50b09919c1a99cba3.jpg"/><Relationship Id="rId11" Type="http://schemas.openxmlformats.org/officeDocument/2006/relationships/image" Target="media/37ecf2483c8ff83de6b9a03f9134e7a4b8d0d131.jpg"/><Relationship Id="rId12" Type="http://schemas.openxmlformats.org/officeDocument/2006/relationships/image" Target="media/c8469d28a925c1b0330d521eed7d9c9cd5aacd62.jpg"/><Relationship Id="rId13" Type="http://schemas.openxmlformats.org/officeDocument/2006/relationships/image" Target="media/1581ff295cc583a5a4f310e60ea3dbbf15f02fc9.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2026-10-07T16:28:25.870Z</dcterms:created>
  <dcterms:modified xsi:type="dcterms:W3CDTF">2026-10-07T16:28:25.870Z</dcterms:modified>
</cp:coreProperties>
</file>

<file path=docProps/custom.xml><?xml version="1.0" encoding="utf-8"?>
<Properties xmlns="http://schemas.openxmlformats.org/officeDocument/2006/custom-properties" xmlns:vt="http://schemas.openxmlformats.org/officeDocument/2006/docPropsVTypes"/>
</file>